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  <w:r>
        <w:rPr>
          <w:rFonts w:hint="eastAsia" w:ascii="黑体" w:hAnsi="CESI仿宋-GB2312" w:eastAsia="黑体" w:cs="宋体"/>
          <w:kern w:val="0"/>
          <w:sz w:val="32"/>
          <w:szCs w:val="32"/>
        </w:rPr>
        <w:t>附件2</w:t>
      </w:r>
    </w:p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</w:p>
    <w:p>
      <w:pPr>
        <w:pStyle w:val="2"/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2025年水生态文明（为民办实事）</w:t>
      </w:r>
    </w:p>
    <w:p>
      <w:pPr>
        <w:pStyle w:val="2"/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资金绩效目标表</w:t>
      </w:r>
    </w:p>
    <w:bookmarkEnd w:id="0"/>
    <w:p>
      <w:pPr>
        <w:pStyle w:val="2"/>
        <w:spacing w:line="580" w:lineRule="exact"/>
        <w:rPr>
          <w:rFonts w:hint="eastAsia"/>
        </w:rPr>
      </w:pPr>
    </w:p>
    <w:tbl>
      <w:tblPr>
        <w:tblStyle w:val="3"/>
        <w:tblW w:w="893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20"/>
        <w:gridCol w:w="1260"/>
        <w:gridCol w:w="2160"/>
        <w:gridCol w:w="900"/>
        <w:gridCol w:w="1020"/>
        <w:gridCol w:w="1020"/>
        <w:gridCol w:w="10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绩效目标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指标方向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永春县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开展水土流失综合治理项目数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等于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水土流失治理项目措施验收合格率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等于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截</w:t>
            </w: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4"/>
              </w:rPr>
              <w:t>至2025年12月底，市级投资完成率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大于等于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市级水土流失综合治理项目补助标准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定性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20亩/万元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20亩/万元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20亩/万元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生态效益指标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完成水土流失综合治理面积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等于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6"/>
                <w:kern w:val="0"/>
                <w:sz w:val="24"/>
              </w:rPr>
              <w:t>服务对象满意度指标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4"/>
              </w:rPr>
              <w:t>项目受益群众满意度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大于等于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BBECC"/>
    <w:rsid w:val="7F9B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2025-07-30T09:46:00Z</dcterms:created>
  <dc:creator>hik</dc:creator>
  <cp:lastModifiedBy>hik</cp:lastModifiedBy>
  <dcterms:modified xsi:type="dcterms:W3CDTF">2025-07-30T09:46:38Z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076A90AE2021A1A27079896816453B57</vt:lpwstr>
  </property>
</Properties>
</file>